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KB2160型气体报警控制器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KB2160型气体报警控制器，是我公司研制的单点气体监控设备，每个表头可以挂接一个探测器，对该探测器进行连续监测。当连接的气体探测器检测到的气体浓度达到或超过报警设定值时，控制器立即发出声光报警，以提醒工作人员及时采取安全措施。三路无源继电器输出可根据用户需要。本机具有声、光报警功能，应用灵活方便，其特有的软件抗干扰技术，提高了测量精度具有较高的可靠性和易维护性。本产品设计、制造、检定遵守以下国家标准：GB 16808-2008《可燃气体报警控制器》经国家指定的法定权威机关审查及检验，并通过型式检验。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标准3U表头，适合19英寸机柜，容量大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电源灯呼吸指示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完善的保护电路功能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各种抗现场干扰防护液晶显示数值状态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两级气体浓度声光报警及故障声光报警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标准4-20mA三线制或两线制探测器输入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三路可编程继电器输出，适合各种联动设备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RS485和4-20mA上传功能</w:t>
      </w:r>
    </w:p>
    <w:p>
      <w:pPr>
        <w:tabs>
          <w:tab w:val="left" w:pos="8094"/>
        </w:tabs>
        <w:jc w:val="left"/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1"/>
          <w:lang w:val="en-US" w:eastAsia="zh-CN" w:bidi="ar-SA"/>
        </w:rPr>
        <w:t>报警历史记录及故障状态可查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rPr>
          <w:rFonts w:hint="eastAsia" w:ascii="宋体" w:hAnsi="宋体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工作电压：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Ac220</w:t>
      </w:r>
      <w:r>
        <w:rPr>
          <w:rFonts w:hint="eastAsia" w:ascii="宋体" w:hAnsi="宋体"/>
          <w:sz w:val="21"/>
          <w:szCs w:val="21"/>
        </w:rPr>
        <w:t>±</w:t>
      </w:r>
      <w:r>
        <w:rPr>
          <w:rFonts w:hint="eastAsia" w:ascii="宋体" w:hAnsi="宋体"/>
          <w:sz w:val="21"/>
          <w:szCs w:val="21"/>
          <w:lang w:val="en-US" w:eastAsia="zh-CN"/>
        </w:rPr>
        <w:t>15% 50Hz</w:t>
      </w:r>
      <w:r>
        <w:rPr>
          <w:rFonts w:hint="eastAsia" w:ascii="宋体" w:hAnsi="宋体"/>
          <w:sz w:val="21"/>
          <w:szCs w:val="21"/>
        </w:rPr>
        <w:t>±</w:t>
      </w:r>
      <w:r>
        <w:rPr>
          <w:rFonts w:hint="eastAsia" w:ascii="宋体" w:hAnsi="宋体"/>
          <w:sz w:val="21"/>
          <w:szCs w:val="21"/>
          <w:lang w:val="en-US" w:eastAsia="zh-CN"/>
        </w:rPr>
        <w:t>1%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功    耗：</w:t>
      </w:r>
      <w:r>
        <w:rPr>
          <w:rFonts w:hint="default" w:ascii="Arial" w:hAnsi="Arial" w:cs="Arial"/>
          <w:sz w:val="21"/>
          <w:szCs w:val="21"/>
        </w:rPr>
        <w:t>≤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W</w:t>
      </w:r>
      <w:r>
        <w:rPr>
          <w:rFonts w:hint="eastAsia" w:ascii="宋体" w:hAnsi="宋体"/>
          <w:sz w:val="21"/>
          <w:szCs w:val="21"/>
          <w:lang w:val="en-US" w:eastAsia="zh-CN"/>
        </w:rPr>
        <w:t>/路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输出电压：DC24V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可匹配的探测器：标准</w:t>
      </w:r>
      <w:r>
        <w:rPr>
          <w:rStyle w:val="4"/>
          <w:rFonts w:eastAsia="宋体"/>
          <w:sz w:val="21"/>
          <w:szCs w:val="21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～20mA输出的探测器接挂探测器数量 1台/路</w:t>
      </w:r>
    </w:p>
    <w:p>
      <w:pPr>
        <w:tabs>
          <w:tab w:val="left" w:pos="8094"/>
        </w:tabs>
        <w:jc w:val="left"/>
        <w:rPr>
          <w:rFonts w:hint="eastAsia" w:ascii="宋体" w:hAnsi="宋体"/>
          <w:sz w:val="21"/>
          <w:szCs w:val="21"/>
        </w:rPr>
      </w:pPr>
      <w:r>
        <w:rPr>
          <w:rStyle w:val="4"/>
          <w:sz w:val="21"/>
          <w:szCs w:val="21"/>
        </w:rPr>
        <w:t xml:space="preserve">响应时间： 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&lt;1</w:t>
      </w:r>
      <w:r>
        <w:rPr>
          <w:rStyle w:val="4"/>
          <w:sz w:val="21"/>
          <w:szCs w:val="21"/>
        </w:rPr>
        <w:t>0s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sz w:val="21"/>
          <w:szCs w:val="21"/>
        </w:rPr>
        <w:t>-</w:t>
      </w:r>
      <w:r>
        <w:rPr>
          <w:rStyle w:val="4"/>
          <w:rFonts w:eastAsia="宋体"/>
          <w:sz w:val="21"/>
          <w:szCs w:val="21"/>
          <w:lang w:val="en-US" w:eastAsia="zh-CN"/>
        </w:rPr>
        <w:t>1</w:t>
      </w:r>
      <w:r>
        <w:rPr>
          <w:rStyle w:val="4"/>
          <w:sz w:val="21"/>
          <w:szCs w:val="21"/>
        </w:rPr>
        <w:t>0℃</w:t>
      </w:r>
      <w:r>
        <w:rPr>
          <w:rStyle w:val="4"/>
          <w:rFonts w:hint="eastAsia" w:ascii="宋体" w:hAnsi="宋体" w:eastAsia="宋体" w:cs="宋体"/>
          <w:sz w:val="21"/>
          <w:szCs w:val="21"/>
        </w:rPr>
        <w:t>～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Style w:val="4"/>
          <w:rFonts w:eastAsia="宋体"/>
          <w:sz w:val="21"/>
          <w:szCs w:val="21"/>
          <w:lang w:val="en-US" w:eastAsia="zh-CN"/>
        </w:rPr>
        <w:t>0</w:t>
      </w:r>
      <w:r>
        <w:rPr>
          <w:rStyle w:val="4"/>
          <w:sz w:val="21"/>
          <w:szCs w:val="21"/>
        </w:rPr>
        <w:t>℃</w:t>
      </w:r>
      <w:r>
        <w:rPr>
          <w:rStyle w:val="4"/>
          <w:rFonts w:eastAsia="宋体"/>
          <w:sz w:val="21"/>
          <w:szCs w:val="21"/>
          <w:lang w:eastAsia="zh-CN"/>
        </w:rPr>
        <w:t>，湿度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sz w:val="21"/>
          <w:szCs w:val="21"/>
        </w:rPr>
        <w:t>95%RH</w:t>
      </w:r>
      <w:r>
        <w:rPr>
          <w:rStyle w:val="4"/>
          <w:rFonts w:eastAsia="宋体"/>
          <w:sz w:val="21"/>
          <w:szCs w:val="21"/>
          <w:lang w:eastAsia="zh-CN"/>
        </w:rPr>
        <w:t>无结露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指示方式：液晶显示浓度数据；高亮LED指示报警或故障状态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报警方式：声、光报警，液晶显示气体浓度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探测器与控制器连接线要求：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RVVP3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×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1.5mm²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eastAsia="zh-CN"/>
        </w:rPr>
        <w:t>通讯</w:t>
      </w:r>
      <w:r>
        <w:rPr>
          <w:rStyle w:val="4"/>
          <w:sz w:val="21"/>
          <w:szCs w:val="21"/>
        </w:rPr>
        <w:t>距离：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rFonts w:eastAsia="宋体"/>
          <w:sz w:val="21"/>
          <w:szCs w:val="21"/>
          <w:lang w:val="en-US" w:eastAsia="zh-CN"/>
        </w:rPr>
        <w:t>2</w:t>
      </w:r>
      <w:r>
        <w:rPr>
          <w:rStyle w:val="4"/>
          <w:sz w:val="21"/>
          <w:szCs w:val="21"/>
        </w:rPr>
        <w:t>000m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安装方式：壁挂式、机柜式</w:t>
      </w:r>
    </w:p>
    <w:p>
      <w:pPr>
        <w:tabs>
          <w:tab w:val="left" w:pos="8094"/>
        </w:tabs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外形</w:t>
      </w:r>
      <w:r>
        <w:rPr>
          <w:rStyle w:val="4"/>
          <w:sz w:val="21"/>
          <w:szCs w:val="21"/>
        </w:rPr>
        <w:t xml:space="preserve">尺寸： </w:t>
      </w:r>
      <w:r>
        <w:rPr>
          <w:rStyle w:val="4"/>
          <w:rFonts w:eastAsia="宋体"/>
          <w:sz w:val="21"/>
          <w:szCs w:val="21"/>
          <w:lang w:val="en-US" w:eastAsia="zh-CN"/>
        </w:rPr>
        <w:t>150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47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150</w:t>
      </w:r>
      <w:r>
        <w:rPr>
          <w:rStyle w:val="4"/>
          <w:sz w:val="21"/>
          <w:szCs w:val="21"/>
        </w:rPr>
        <w:t>mm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726B"/>
    <w:rsid w:val="03C75F6A"/>
    <w:rsid w:val="065D2A12"/>
    <w:rsid w:val="07601188"/>
    <w:rsid w:val="08222140"/>
    <w:rsid w:val="083B3B0F"/>
    <w:rsid w:val="093B485E"/>
    <w:rsid w:val="0DFD7446"/>
    <w:rsid w:val="109A59B5"/>
    <w:rsid w:val="150238C4"/>
    <w:rsid w:val="153A1318"/>
    <w:rsid w:val="15A8124E"/>
    <w:rsid w:val="16070AF6"/>
    <w:rsid w:val="19D70A10"/>
    <w:rsid w:val="1C432DA6"/>
    <w:rsid w:val="1D2B165A"/>
    <w:rsid w:val="1E3D2F7B"/>
    <w:rsid w:val="21B6675D"/>
    <w:rsid w:val="22CD66A3"/>
    <w:rsid w:val="243216B4"/>
    <w:rsid w:val="284F263F"/>
    <w:rsid w:val="2F1F1BB9"/>
    <w:rsid w:val="32457228"/>
    <w:rsid w:val="341434EF"/>
    <w:rsid w:val="347D658A"/>
    <w:rsid w:val="3AB3700D"/>
    <w:rsid w:val="3AFC2225"/>
    <w:rsid w:val="3C61437E"/>
    <w:rsid w:val="40653545"/>
    <w:rsid w:val="40994C5B"/>
    <w:rsid w:val="40AE231C"/>
    <w:rsid w:val="447B57D0"/>
    <w:rsid w:val="4530277E"/>
    <w:rsid w:val="45A53487"/>
    <w:rsid w:val="47521D83"/>
    <w:rsid w:val="487924FC"/>
    <w:rsid w:val="4A66134C"/>
    <w:rsid w:val="4A843804"/>
    <w:rsid w:val="4AE2537D"/>
    <w:rsid w:val="4DBA2CBE"/>
    <w:rsid w:val="512C0463"/>
    <w:rsid w:val="530E12E1"/>
    <w:rsid w:val="576C5A73"/>
    <w:rsid w:val="58A87827"/>
    <w:rsid w:val="635A0FF3"/>
    <w:rsid w:val="63773BAB"/>
    <w:rsid w:val="648A1CAE"/>
    <w:rsid w:val="689A585B"/>
    <w:rsid w:val="68EA2107"/>
    <w:rsid w:val="6B1D4CC4"/>
    <w:rsid w:val="74546AA6"/>
    <w:rsid w:val="75D463C4"/>
    <w:rsid w:val="786E287F"/>
    <w:rsid w:val="78C348AE"/>
    <w:rsid w:val="78DF3733"/>
    <w:rsid w:val="7CE04EE0"/>
    <w:rsid w:val="7D3A3316"/>
    <w:rsid w:val="7DBF6860"/>
    <w:rsid w:val="7E143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