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气相色谱仪GC-M96</w:t>
      </w:r>
    </w:p>
    <w:p>
      <w:pPr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产品概述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采用德国西门子控制技术，具有自检功能，中文实时显示故障原因，整机模块化工业级设计，便于调试维护，性能稳定，功能卓越。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7寸（800*480）触摸彩屏，温度、压力、程序升温等参数可通过触摸屏设置、显示及自动储存，显示内容丰富直观，操作简单。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气路采用电子压力自动控制系统（EPC），重复性好，精度高，精度可达0.01psi。稳定性和精确度优于机械阀控制。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温度采用PLC控制系统，精度高，稳定性好，升温速度快，1~30阶程序升温可调；具有温度保护功能，超过最大设定值时，自动断电保护。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电子自动点火，操作简单、更具人性化。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断气保护功能：当载气进入口压力低于0.1MPa时，仪器会自动报警、切断加热区电源，有效的保护仪器和色谱柱。</w:t>
      </w:r>
    </w:p>
    <w:p>
      <w:pPr>
        <w:widowControl/>
        <w:numPr>
          <w:ilvl w:val="0"/>
          <w:numId w:val="1"/>
        </w:numPr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可扩展顶空、热解析等不同进样方式，可实现多检测器组合。</w:t>
      </w:r>
    </w:p>
    <w:p>
      <w:pPr>
        <w:widowControl/>
        <w:spacing w:line="480" w:lineRule="exact"/>
        <w:ind w:left="644"/>
        <w:rPr>
          <w:rFonts w:ascii="微软雅黑" w:hAnsi="微软雅黑" w:eastAsia="微软雅黑" w:cs="宋体"/>
          <w:b/>
          <w:color w:val="000000"/>
          <w:kern w:val="0"/>
          <w:sz w:val="24"/>
        </w:rPr>
      </w:pPr>
    </w:p>
    <w:p>
      <w:pPr>
        <w:rPr>
          <w:rFonts w:ascii="方正准圆简体" w:eastAsia="方正准圆简体"/>
          <w:b/>
          <w:sz w:val="28"/>
          <w:szCs w:val="28"/>
        </w:rPr>
      </w:pPr>
      <w:r>
        <w:rPr>
          <w:rFonts w:hint="eastAsia" w:ascii="方正准圆简体" w:eastAsia="方正准圆简体"/>
          <w:b/>
          <w:sz w:val="28"/>
          <w:szCs w:val="28"/>
        </w:rPr>
        <w:t>主要技术指标：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使用环境：温度5~40℃，相对湿度20~90%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电压：220/230/240V AC（50/60Hz），额定功率：2.1千瓦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柱箱尺寸：291（宽）×284（高）×260（深）mm；柱箱容积：21500cm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vertAlign w:val="superscript"/>
        </w:rPr>
        <w:t>3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控温范围：室温+5℃～450℃；温控精度：±0.1℃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程序升温：1~30阶线性程序升温，温度梯度：±1%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程序升温速率：0.1～40℃/min任意设定（0.1℃增量）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各阶程序温保持时间：0～  9999.9min任意设定，程序升温重复性≤1%。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方正准圆简体" w:eastAsia="方正准圆简体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进样口温度和检测器温度控制：室温+5℃～400℃，最小温度设置：0.1℃</w:t>
      </w:r>
    </w:p>
    <w:p>
      <w:pPr>
        <w:widowControl/>
        <w:numPr>
          <w:ilvl w:val="0"/>
          <w:numId w:val="2"/>
        </w:numPr>
        <w:spacing w:line="480" w:lineRule="exact"/>
        <w:ind w:left="714" w:hanging="357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4"/>
        </w:rPr>
        <w:t>检测器技术指标</w:t>
      </w:r>
    </w:p>
    <w:p>
      <w:pPr>
        <w:widowControl/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</w:p>
    <w:p>
      <w:pPr>
        <w:widowControl/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  <w:bookmarkStart w:id="0" w:name="_GoBack"/>
      <w:bookmarkEnd w:id="0"/>
    </w:p>
    <w:p>
      <w:pPr>
        <w:widowControl/>
        <w:spacing w:line="480" w:lineRule="exact"/>
        <w:rPr>
          <w:rFonts w:ascii="微软雅黑" w:hAnsi="微软雅黑" w:eastAsia="微软雅黑" w:cs="宋体"/>
          <w:b/>
          <w:color w:val="000000"/>
          <w:kern w:val="0"/>
          <w:sz w:val="24"/>
        </w:rPr>
      </w:pPr>
    </w:p>
    <w:tbl>
      <w:tblPr>
        <w:tblStyle w:val="6"/>
        <w:tblW w:w="8820" w:type="dxa"/>
        <w:tblInd w:w="9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220"/>
        <w:gridCol w:w="1560"/>
        <w:gridCol w:w="1512"/>
        <w:gridCol w:w="17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检测器技术指标</w:t>
            </w:r>
          </w:p>
        </w:tc>
        <w:tc>
          <w:tcPr>
            <w:tcW w:w="22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检测限/灵敏度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噪声</w:t>
            </w:r>
          </w:p>
        </w:tc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漂移</w:t>
            </w:r>
          </w:p>
        </w:tc>
        <w:tc>
          <w:tcPr>
            <w:tcW w:w="17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线性范围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FID检测器</w:t>
            </w:r>
          </w:p>
        </w:tc>
        <w:tc>
          <w:tcPr>
            <w:tcW w:w="222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-12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g/s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≤5×10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-14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1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-13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64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≥10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TCD检测器</w:t>
            </w:r>
          </w:p>
        </w:tc>
        <w:tc>
          <w:tcPr>
            <w:tcW w:w="22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≥8000mV·ml/mg</w:t>
            </w:r>
          </w:p>
        </w:tc>
        <w:tc>
          <w:tcPr>
            <w:tcW w:w="156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≤20uV</w:t>
            </w:r>
          </w:p>
        </w:tc>
        <w:tc>
          <w:tcPr>
            <w:tcW w:w="1512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≤0.1mV</w:t>
            </w:r>
          </w:p>
        </w:tc>
        <w:tc>
          <w:tcPr>
            <w:tcW w:w="176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≥10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FPD检测器</w:t>
            </w:r>
          </w:p>
        </w:tc>
        <w:tc>
          <w:tcPr>
            <w:tcW w:w="22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P≤1×10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S≤1×10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≤5×10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-14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-13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6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P≥10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5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S≥10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6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ECD检测器</w:t>
            </w:r>
          </w:p>
        </w:tc>
        <w:tc>
          <w:tcPr>
            <w:tcW w:w="222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≤5×10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-14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g/ml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≤5×10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-14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≤1×10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-13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764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  <w:t>≥10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2"/>
                <w:szCs w:val="22"/>
                <w:vertAlign w:val="superscript"/>
              </w:rPr>
              <w:t>4</w:t>
            </w:r>
          </w:p>
        </w:tc>
      </w:tr>
    </w:tbl>
    <w:p>
      <w:pPr>
        <w:rPr>
          <w:rFonts w:ascii="方正准圆简体" w:eastAsia="方正准圆简体"/>
          <w:sz w:val="28"/>
          <w:szCs w:val="28"/>
        </w:rPr>
      </w:pPr>
    </w:p>
    <w:p>
      <w:pPr>
        <w:rPr>
          <w:rFonts w:ascii="方正准圆简体" w:eastAsia="方正准圆简体"/>
          <w:sz w:val="28"/>
          <w:szCs w:val="28"/>
        </w:rPr>
      </w:pPr>
    </w:p>
    <w:p>
      <w:pPr>
        <w:rPr>
          <w:rFonts w:ascii="方正准圆简体" w:eastAsia="方正准圆简体"/>
          <w:sz w:val="28"/>
          <w:szCs w:val="28"/>
        </w:rPr>
      </w:pPr>
    </w:p>
    <w:p/>
    <w:sectPr>
      <w:footerReference r:id="rId3" w:type="default"/>
      <w:pgSz w:w="11907" w:h="16840"/>
      <w:pgMar w:top="539" w:right="907" w:bottom="369" w:left="907" w:header="851" w:footer="992" w:gutter="0"/>
      <w:cols w:space="720" w:num="1"/>
      <w:rtlGutter w:val="1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准圆简体">
    <w:altName w:val="宋体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地址：沈阳市东陵区沈本大街沈阳国际软件园E18 301室  电话：（024）23904668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0677"/>
    <w:multiLevelType w:val="multilevel"/>
    <w:tmpl w:val="2D3C0677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 w:tentative="0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0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 w:tentative="0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 w:tentative="0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0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 w:tentative="0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abstractNum w:abstractNumId="1">
    <w:nsid w:val="46F60820"/>
    <w:multiLevelType w:val="multilevel"/>
    <w:tmpl w:val="46F6082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B5E"/>
    <w:rsid w:val="0006338C"/>
    <w:rsid w:val="001312AD"/>
    <w:rsid w:val="00135424"/>
    <w:rsid w:val="001E0E10"/>
    <w:rsid w:val="00206C20"/>
    <w:rsid w:val="00240594"/>
    <w:rsid w:val="00277E20"/>
    <w:rsid w:val="002A7780"/>
    <w:rsid w:val="003372C4"/>
    <w:rsid w:val="003B32B5"/>
    <w:rsid w:val="00586493"/>
    <w:rsid w:val="005B3F2F"/>
    <w:rsid w:val="005C4842"/>
    <w:rsid w:val="0067333D"/>
    <w:rsid w:val="00702DE0"/>
    <w:rsid w:val="00703002"/>
    <w:rsid w:val="007132F9"/>
    <w:rsid w:val="00776001"/>
    <w:rsid w:val="007868C4"/>
    <w:rsid w:val="007C5E82"/>
    <w:rsid w:val="008520C3"/>
    <w:rsid w:val="00860675"/>
    <w:rsid w:val="00932881"/>
    <w:rsid w:val="009C74DD"/>
    <w:rsid w:val="00A1591C"/>
    <w:rsid w:val="00A243B0"/>
    <w:rsid w:val="00A743EB"/>
    <w:rsid w:val="00A74C49"/>
    <w:rsid w:val="00AA46EC"/>
    <w:rsid w:val="00B0281B"/>
    <w:rsid w:val="00B40089"/>
    <w:rsid w:val="00B82287"/>
    <w:rsid w:val="00C31716"/>
    <w:rsid w:val="00CA659E"/>
    <w:rsid w:val="00CF69A3"/>
    <w:rsid w:val="00D55B5E"/>
    <w:rsid w:val="00D73B0E"/>
    <w:rsid w:val="00EF3C59"/>
    <w:rsid w:val="00F24D50"/>
    <w:rsid w:val="00F37029"/>
    <w:rsid w:val="00F43421"/>
    <w:rsid w:val="00FB20BB"/>
    <w:rsid w:val="1E065A5F"/>
    <w:rsid w:val="5EC21F2A"/>
    <w:rsid w:val="79E92790"/>
    <w:rsid w:val="7AC45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sz w:val="18"/>
      <w:szCs w:val="18"/>
    </w:rPr>
  </w:style>
  <w:style w:type="character" w:customStyle="1" w:styleId="9">
    <w:name w:val="页脚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129</Words>
  <Characters>737</Characters>
  <Lines>6</Lines>
  <Paragraphs>1</Paragraphs>
  <TotalTime>5</TotalTime>
  <ScaleCrop>false</ScaleCrop>
  <LinksUpToDate>false</LinksUpToDate>
  <CharactersWithSpaces>865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2017-08-23T01:16:00Z</dcterms:created>
  <dc:creator>Sky123.Org</dc:creator>
  <cp:lastModifiedBy>沈阳汉威冯向阳</cp:lastModifiedBy>
  <dcterms:modified xsi:type="dcterms:W3CDTF">2018-07-20T03:38:35Z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