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94"/>
        </w:tabs>
        <w:jc w:val="left"/>
        <w:rPr>
          <w:rFonts w:hint="eastAsia" w:asciiTheme="minorEastAsia" w:hAnsiTheme="minorEastAsia" w:cstheme="minorEastAsia"/>
          <w:b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2"/>
          <w:sz w:val="21"/>
          <w:szCs w:val="21"/>
          <w:lang w:val="en-US" w:eastAsia="zh-CN" w:bidi="ar-SA"/>
        </w:rPr>
        <w:t>WD6200气体探测器</w:t>
      </w:r>
    </w:p>
    <w:p>
      <w:pPr>
        <w:tabs>
          <w:tab w:val="left" w:pos="8094"/>
        </w:tabs>
        <w:jc w:val="left"/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  <w:t>产品描述：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WD62200气体探测器，智能模块化传感器，更换维护简便；智能标定到期提示；寿命长、灵敏度高、工作可靠；二级可调报警点、高亮LED灯光指示；三级继电器输出、可驱动外接设备、一路可配置 有源输出；检测气体：可燃气体、毒性气体；检测原理：催化燃烧式、电化学式</w:t>
      </w:r>
    </w:p>
    <w:p>
      <w:pPr>
        <w:tabs>
          <w:tab w:val="left" w:pos="8094"/>
        </w:tabs>
        <w:jc w:val="left"/>
        <w:rPr>
          <w:rFonts w:hint="eastAsia" w:asciiTheme="minorEastAsia" w:hAnsi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FF0000"/>
          <w:kern w:val="2"/>
          <w:sz w:val="21"/>
          <w:szCs w:val="21"/>
          <w:lang w:val="en-US" w:eastAsia="zh-CN" w:bidi="ar-SA"/>
        </w:rPr>
        <w:t>技术规格：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具有传感器标定提醒及失效提醒功能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寿命长、灵敏度高、工作可靠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二级可调报警点、高亮LED灯光指示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三级继电器输出、可驱动外接设备、一路可配置有源输出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工业STN液晶显示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红外遥控器控制方法，无需开盖即可对探测器进行参数设置，安全方便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4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～20mA标准模拟信号输出，可以接控制仪表和DCS、PLC系统，HART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挂接式安装方式、适用各种工业环境（壁挂、抱管），安装方便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01188"/>
    <w:rsid w:val="083B3B0F"/>
    <w:rsid w:val="153A1318"/>
    <w:rsid w:val="15A8124E"/>
    <w:rsid w:val="19D70A10"/>
    <w:rsid w:val="21B6675D"/>
    <w:rsid w:val="284F263F"/>
    <w:rsid w:val="341434EF"/>
    <w:rsid w:val="347D658A"/>
    <w:rsid w:val="40AE231C"/>
    <w:rsid w:val="47521D83"/>
    <w:rsid w:val="487924FC"/>
    <w:rsid w:val="530E12E1"/>
    <w:rsid w:val="68EA2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2019-01-28T08:07:52Z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